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28" w:rsidRDefault="00AE5D47" w:rsidP="00AE5D47">
      <w:pPr>
        <w:jc w:val="center"/>
      </w:pPr>
      <w:r>
        <w:t>ДНЕВЕН РЕД</w:t>
      </w:r>
    </w:p>
    <w:p w:rsidR="00AE5D47" w:rsidRPr="00AE5D47" w:rsidRDefault="00AE5D47" w:rsidP="00AE5D47">
      <w:pPr>
        <w:jc w:val="center"/>
      </w:pPr>
      <w:r>
        <w:t>Допълване на Решение № 105 от 04.11.2019 г.</w:t>
      </w:r>
      <w:bookmarkStart w:id="0" w:name="_GoBack"/>
      <w:bookmarkEnd w:id="0"/>
    </w:p>
    <w:sectPr w:rsidR="00AE5D47" w:rsidRPr="00AE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47"/>
    <w:rsid w:val="00AE5D47"/>
    <w:rsid w:val="00C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C7CB"/>
  <w15:chartTrackingRefBased/>
  <w15:docId w15:val="{CFC329FA-8797-4E2D-9572-F727BDDB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2019-11-07T09:16:00Z</dcterms:created>
  <dcterms:modified xsi:type="dcterms:W3CDTF">2019-11-07T09:17:00Z</dcterms:modified>
</cp:coreProperties>
</file>